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564"/>
        <w:gridCol w:w="2830"/>
        <w:gridCol w:w="1344"/>
        <w:gridCol w:w="2909"/>
        <w:gridCol w:w="1316"/>
        <w:gridCol w:w="1570"/>
        <w:gridCol w:w="1569"/>
      </w:tblGrid>
      <w:tr w:rsidR="00B41BB2" w:rsidRPr="009579D7" w14:paraId="0B3F3C24" w14:textId="77777777" w:rsidTr="000D2236">
        <w:trPr>
          <w:cantSplit/>
        </w:trPr>
        <w:tc>
          <w:tcPr>
            <w:tcW w:w="12379" w:type="dxa"/>
            <w:gridSpan w:val="7"/>
          </w:tcPr>
          <w:p w14:paraId="25304381" w14:textId="0004F435" w:rsidR="00B41BB2" w:rsidRPr="009579D7" w:rsidRDefault="001C74AF" w:rsidP="00B41BB2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 xml:space="preserve">Session 6: 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</w:r>
            <w:r w:rsidR="00B41BB2" w:rsidRPr="009579D7">
              <w:rPr>
                <w:rFonts w:ascii="Arial" w:hAnsi="Arial" w:cs="Arial"/>
                <w:b w:val="0"/>
                <w:sz w:val="20"/>
              </w:rPr>
              <w:t>Lesson Topic:</w:t>
            </w:r>
            <w:r w:rsidRPr="009579D7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F84B1B" w:rsidRPr="009579D7">
              <w:rPr>
                <w:rFonts w:ascii="Arial" w:hAnsi="Arial" w:cs="Arial"/>
                <w:sz w:val="20"/>
              </w:rPr>
              <w:t>A</w:t>
            </w:r>
            <w:r w:rsidR="00E0542E" w:rsidRPr="009579D7">
              <w:rPr>
                <w:rFonts w:ascii="Arial" w:hAnsi="Arial" w:cs="Arial"/>
                <w:sz w:val="20"/>
              </w:rPr>
              <w:t>uthentic</w:t>
            </w:r>
            <w:r w:rsidR="00E0542E" w:rsidRPr="009579D7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9579D7">
              <w:rPr>
                <w:rFonts w:ascii="Arial" w:hAnsi="Arial" w:cs="Arial"/>
                <w:sz w:val="20"/>
              </w:rPr>
              <w:t xml:space="preserve">Self, </w:t>
            </w:r>
            <w:r w:rsidR="001739DF" w:rsidRPr="009579D7">
              <w:rPr>
                <w:rFonts w:ascii="Arial" w:hAnsi="Arial" w:cs="Arial"/>
                <w:sz w:val="20"/>
              </w:rPr>
              <w:t>Peer and Group Assessment</w:t>
            </w:r>
          </w:p>
        </w:tc>
        <w:tc>
          <w:tcPr>
            <w:tcW w:w="1569" w:type="dxa"/>
          </w:tcPr>
          <w:p w14:paraId="479A731F" w14:textId="77777777" w:rsidR="00B41BB2" w:rsidRPr="009579D7" w:rsidRDefault="00B41BB2" w:rsidP="00B41BB2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B41BB2" w:rsidRPr="009579D7" w14:paraId="45F63F24" w14:textId="77777777" w:rsidTr="000D2236">
        <w:trPr>
          <w:cantSplit/>
          <w:trHeight w:val="370"/>
        </w:trPr>
        <w:tc>
          <w:tcPr>
            <w:tcW w:w="12379" w:type="dxa"/>
            <w:gridSpan w:val="7"/>
          </w:tcPr>
          <w:p w14:paraId="13F2D652" w14:textId="77777777" w:rsidR="00B41BB2" w:rsidRPr="009579D7" w:rsidRDefault="00B41BB2" w:rsidP="00B41BB2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1569" w:type="dxa"/>
          </w:tcPr>
          <w:p w14:paraId="6614C5D4" w14:textId="77777777" w:rsidR="00B41BB2" w:rsidRPr="009579D7" w:rsidRDefault="00B41BB2" w:rsidP="00B41BB2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B41BB2" w:rsidRPr="009579D7" w14:paraId="7D0FC423" w14:textId="77777777" w:rsidTr="000D2236">
        <w:trPr>
          <w:cantSplit/>
        </w:trPr>
        <w:tc>
          <w:tcPr>
            <w:tcW w:w="13948" w:type="dxa"/>
            <w:gridSpan w:val="8"/>
          </w:tcPr>
          <w:p w14:paraId="60F63084" w14:textId="77777777" w:rsidR="00B41BB2" w:rsidRPr="009579D7" w:rsidRDefault="00B41BB2" w:rsidP="00B41BB2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  <w:b/>
              </w:rPr>
              <w:t xml:space="preserve">Learning outcomes: </w:t>
            </w:r>
            <w:r w:rsidRPr="009579D7">
              <w:rPr>
                <w:rFonts w:ascii="Arial" w:hAnsi="Arial" w:cs="Arial"/>
              </w:rPr>
              <w:t>At the end of the session learners will be able to</w:t>
            </w:r>
          </w:p>
          <w:p w14:paraId="1E971B92" w14:textId="5806B378" w:rsidR="001214C1" w:rsidRPr="009579D7" w:rsidRDefault="001214C1" w:rsidP="0050120D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bookmarkStart w:id="0" w:name="_Hlk10037355"/>
            <w:r w:rsidRPr="009579D7">
              <w:rPr>
                <w:rFonts w:ascii="Arial" w:hAnsi="Arial" w:cs="Arial"/>
                <w:bCs/>
                <w:lang w:val="en-NZ"/>
              </w:rPr>
              <w:t>Distinguish between authentic assessment and traditional assessments</w:t>
            </w:r>
            <w:r w:rsidR="0070751A">
              <w:rPr>
                <w:rFonts w:ascii="Arial" w:hAnsi="Arial" w:cs="Arial"/>
                <w:bCs/>
                <w:lang w:val="en-NZ"/>
              </w:rPr>
              <w:t>.</w:t>
            </w:r>
          </w:p>
          <w:p w14:paraId="260970DB" w14:textId="141FD7A4" w:rsidR="001214C1" w:rsidRPr="009579D7" w:rsidRDefault="001214C1" w:rsidP="0050120D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Determine the differences and advantage/disadvantages of using self/peer/group assessment</w:t>
            </w:r>
            <w:r w:rsidR="0070751A">
              <w:rPr>
                <w:rFonts w:ascii="Arial" w:hAnsi="Arial" w:cs="Arial"/>
                <w:bCs/>
                <w:lang w:val="en-NZ"/>
              </w:rPr>
              <w:t>.</w:t>
            </w:r>
          </w:p>
          <w:p w14:paraId="40C267AA" w14:textId="70AC23E8" w:rsidR="00B41BB2" w:rsidRPr="009579D7" w:rsidRDefault="001214C1" w:rsidP="0050120D">
            <w:pPr>
              <w:pStyle w:val="ListParagraph"/>
              <w:numPr>
                <w:ilvl w:val="0"/>
                <w:numId w:val="1"/>
              </w:numPr>
              <w:ind w:left="600" w:hanging="60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Choose one new methodology to include in their project.</w:t>
            </w:r>
            <w:bookmarkEnd w:id="0"/>
          </w:p>
        </w:tc>
      </w:tr>
      <w:tr w:rsidR="00B41BB2" w:rsidRPr="009579D7" w14:paraId="3869C3EA" w14:textId="77777777" w:rsidTr="000D2236">
        <w:trPr>
          <w:cantSplit/>
        </w:trPr>
        <w:tc>
          <w:tcPr>
            <w:tcW w:w="13948" w:type="dxa"/>
            <w:gridSpan w:val="8"/>
          </w:tcPr>
          <w:p w14:paraId="60E47BAF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 Groups - Four</w:t>
            </w:r>
          </w:p>
        </w:tc>
      </w:tr>
      <w:tr w:rsidR="00C7045A" w:rsidRPr="009579D7" w14:paraId="32CE27B0" w14:textId="77777777" w:rsidTr="000D2236">
        <w:tc>
          <w:tcPr>
            <w:tcW w:w="2410" w:type="dxa"/>
            <w:gridSpan w:val="2"/>
          </w:tcPr>
          <w:p w14:paraId="4C8DAB98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4174" w:type="dxa"/>
            <w:gridSpan w:val="2"/>
          </w:tcPr>
          <w:p w14:paraId="71FCB9E9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4225" w:type="dxa"/>
            <w:gridSpan w:val="2"/>
          </w:tcPr>
          <w:p w14:paraId="07751BBB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570" w:type="dxa"/>
          </w:tcPr>
          <w:p w14:paraId="32B5809E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569" w:type="dxa"/>
          </w:tcPr>
          <w:p w14:paraId="78140343" w14:textId="77777777" w:rsidR="00B41BB2" w:rsidRPr="009579D7" w:rsidRDefault="00B41BB2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C7045A" w:rsidRPr="009579D7" w14:paraId="71BE7848" w14:textId="77777777" w:rsidTr="000D2236">
        <w:trPr>
          <w:trHeight w:val="780"/>
        </w:trPr>
        <w:tc>
          <w:tcPr>
            <w:tcW w:w="2410" w:type="dxa"/>
            <w:gridSpan w:val="2"/>
          </w:tcPr>
          <w:p w14:paraId="29D558A4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Day Plan – and sharing learning outcomes</w:t>
            </w:r>
          </w:p>
        </w:tc>
        <w:tc>
          <w:tcPr>
            <w:tcW w:w="4174" w:type="dxa"/>
            <w:gridSpan w:val="2"/>
          </w:tcPr>
          <w:p w14:paraId="78B64CEA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LO</w:t>
            </w:r>
          </w:p>
        </w:tc>
        <w:tc>
          <w:tcPr>
            <w:tcW w:w="4225" w:type="dxa"/>
            <w:gridSpan w:val="2"/>
          </w:tcPr>
          <w:p w14:paraId="04B195D6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70" w:type="dxa"/>
          </w:tcPr>
          <w:p w14:paraId="2BCDEAB7" w14:textId="4ABD268B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Resource book and slide </w:t>
            </w:r>
            <w:r w:rsidR="00F354A7" w:rsidRPr="009579D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69" w:type="dxa"/>
          </w:tcPr>
          <w:p w14:paraId="15B23C42" w14:textId="0F121849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3 mins</w:t>
            </w:r>
          </w:p>
        </w:tc>
      </w:tr>
      <w:tr w:rsidR="0034460D" w:rsidRPr="009579D7" w14:paraId="4A12E53C" w14:textId="77777777" w:rsidTr="000D2236">
        <w:trPr>
          <w:trHeight w:val="656"/>
        </w:trPr>
        <w:tc>
          <w:tcPr>
            <w:tcW w:w="13948" w:type="dxa"/>
            <w:gridSpan w:val="8"/>
          </w:tcPr>
          <w:p w14:paraId="6BC0448E" w14:textId="60EEF86C" w:rsidR="0034460D" w:rsidRPr="009579D7" w:rsidRDefault="0034460D" w:rsidP="0034460D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Recap previous session </w:t>
            </w:r>
            <w:r w:rsidR="0090432D" w:rsidRPr="009579D7">
              <w:rPr>
                <w:rFonts w:ascii="Arial" w:hAnsi="Arial" w:cs="Arial"/>
                <w:bCs/>
                <w:i/>
              </w:rPr>
              <w:t>– content may have changed depending on assessment criteria in their institutions.</w:t>
            </w:r>
            <w:r w:rsidRPr="009579D7">
              <w:rPr>
                <w:rFonts w:ascii="Arial" w:hAnsi="Arial" w:cs="Arial"/>
                <w:bCs/>
                <w:i/>
              </w:rPr>
              <w:t xml:space="preserve"> Ask one person to share what they have been working on. Answer any queries they may have on the task.</w:t>
            </w:r>
          </w:p>
        </w:tc>
      </w:tr>
      <w:tr w:rsidR="00C7045A" w:rsidRPr="009579D7" w14:paraId="759A564A" w14:textId="77777777" w:rsidTr="000D2236">
        <w:trPr>
          <w:trHeight w:val="780"/>
        </w:trPr>
        <w:tc>
          <w:tcPr>
            <w:tcW w:w="2410" w:type="dxa"/>
            <w:gridSpan w:val="2"/>
          </w:tcPr>
          <w:p w14:paraId="51F10D21" w14:textId="6FEBEC2F" w:rsidR="00B41BB2" w:rsidRPr="009579D7" w:rsidRDefault="00695A0F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Warm-up / recap</w:t>
            </w:r>
          </w:p>
        </w:tc>
        <w:tc>
          <w:tcPr>
            <w:tcW w:w="4174" w:type="dxa"/>
            <w:gridSpan w:val="2"/>
          </w:tcPr>
          <w:p w14:paraId="27919F21" w14:textId="746F9B2B" w:rsidR="00B41BB2" w:rsidRPr="009579D7" w:rsidRDefault="00695A0F" w:rsidP="00B41BB2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 xml:space="preserve">Use </w:t>
            </w:r>
            <w:r w:rsidRPr="0070751A">
              <w:rPr>
                <w:rFonts w:ascii="Arial" w:hAnsi="Arial" w:cs="Arial"/>
                <w:b/>
              </w:rPr>
              <w:t xml:space="preserve">Activity 18: </w:t>
            </w:r>
            <w:r w:rsidR="0070751A">
              <w:rPr>
                <w:rFonts w:ascii="Arial" w:hAnsi="Arial" w:cs="Arial"/>
                <w:b/>
              </w:rPr>
              <w:t>M</w:t>
            </w:r>
            <w:r w:rsidR="0034460D" w:rsidRPr="0070751A">
              <w:rPr>
                <w:rFonts w:ascii="Arial" w:hAnsi="Arial" w:cs="Arial"/>
                <w:b/>
              </w:rPr>
              <w:t xml:space="preserve">y </w:t>
            </w:r>
            <w:r w:rsidR="0070751A">
              <w:rPr>
                <w:rFonts w:ascii="Arial" w:hAnsi="Arial" w:cs="Arial"/>
                <w:b/>
              </w:rPr>
              <w:t>F</w:t>
            </w:r>
            <w:r w:rsidR="0034460D" w:rsidRPr="0070751A">
              <w:rPr>
                <w:rFonts w:ascii="Arial" w:hAnsi="Arial" w:cs="Arial"/>
                <w:b/>
              </w:rPr>
              <w:t xml:space="preserve">avourite </w:t>
            </w:r>
            <w:r w:rsidR="0070751A">
              <w:rPr>
                <w:rFonts w:ascii="Arial" w:hAnsi="Arial" w:cs="Arial"/>
                <w:b/>
              </w:rPr>
              <w:t>A</w:t>
            </w:r>
            <w:r w:rsidR="0034460D" w:rsidRPr="0070751A">
              <w:rPr>
                <w:rFonts w:ascii="Arial" w:hAnsi="Arial" w:cs="Arial"/>
                <w:b/>
              </w:rPr>
              <w:t>ssessment</w:t>
            </w:r>
            <w:r w:rsidR="0034460D" w:rsidRPr="009579D7">
              <w:rPr>
                <w:rFonts w:ascii="Arial" w:hAnsi="Arial" w:cs="Arial"/>
              </w:rPr>
              <w:t xml:space="preserve"> </w:t>
            </w:r>
            <w:r w:rsidR="001C74AF" w:rsidRPr="009579D7">
              <w:rPr>
                <w:rFonts w:ascii="Arial" w:hAnsi="Arial" w:cs="Arial"/>
              </w:rPr>
              <w:t>to generate discussion around authentic assessment – lead to definition</w:t>
            </w:r>
            <w:r w:rsidR="00F354A7" w:rsidRPr="009579D7">
              <w:rPr>
                <w:rFonts w:ascii="Arial" w:hAnsi="Arial" w:cs="Arial"/>
              </w:rPr>
              <w:t xml:space="preserve"> as per below:</w:t>
            </w:r>
          </w:p>
        </w:tc>
        <w:tc>
          <w:tcPr>
            <w:tcW w:w="4225" w:type="dxa"/>
            <w:gridSpan w:val="2"/>
          </w:tcPr>
          <w:p w14:paraId="18927D4C" w14:textId="2D683854" w:rsidR="00E0542E" w:rsidRPr="009579D7" w:rsidRDefault="00695A0F" w:rsidP="00E0542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In pairs complete </w:t>
            </w:r>
            <w:r w:rsidR="0070751A" w:rsidRPr="0070751A">
              <w:rPr>
                <w:rFonts w:ascii="Arial" w:hAnsi="Arial" w:cs="Arial"/>
                <w:b/>
              </w:rPr>
              <w:t xml:space="preserve">Activity 18: </w:t>
            </w:r>
            <w:r w:rsidR="0070751A">
              <w:rPr>
                <w:rFonts w:ascii="Arial" w:hAnsi="Arial" w:cs="Arial"/>
                <w:b/>
              </w:rPr>
              <w:t>M</w:t>
            </w:r>
            <w:r w:rsidR="0070751A" w:rsidRPr="0070751A">
              <w:rPr>
                <w:rFonts w:ascii="Arial" w:hAnsi="Arial" w:cs="Arial"/>
                <w:b/>
              </w:rPr>
              <w:t xml:space="preserve">y </w:t>
            </w:r>
            <w:r w:rsidR="0070751A">
              <w:rPr>
                <w:rFonts w:ascii="Arial" w:hAnsi="Arial" w:cs="Arial"/>
                <w:b/>
              </w:rPr>
              <w:t>F</w:t>
            </w:r>
            <w:r w:rsidR="0070751A" w:rsidRPr="0070751A">
              <w:rPr>
                <w:rFonts w:ascii="Arial" w:hAnsi="Arial" w:cs="Arial"/>
                <w:b/>
              </w:rPr>
              <w:t xml:space="preserve">avourite </w:t>
            </w:r>
            <w:r w:rsidR="0070751A">
              <w:rPr>
                <w:rFonts w:ascii="Arial" w:hAnsi="Arial" w:cs="Arial"/>
                <w:b/>
              </w:rPr>
              <w:t>A</w:t>
            </w:r>
            <w:r w:rsidR="0070751A" w:rsidRPr="0070751A">
              <w:rPr>
                <w:rFonts w:ascii="Arial" w:hAnsi="Arial" w:cs="Arial"/>
                <w:b/>
              </w:rPr>
              <w:t>ssessment</w:t>
            </w:r>
            <w:r w:rsidR="0070751A">
              <w:rPr>
                <w:rFonts w:ascii="Arial" w:hAnsi="Arial" w:cs="Arial"/>
                <w:b/>
              </w:rPr>
              <w:t xml:space="preserve"> and Template M: Characteristics of Authentic Assessment</w:t>
            </w:r>
          </w:p>
        </w:tc>
        <w:tc>
          <w:tcPr>
            <w:tcW w:w="1570" w:type="dxa"/>
          </w:tcPr>
          <w:p w14:paraId="46DD8AF3" w14:textId="09B7C6E8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</w:tcPr>
          <w:p w14:paraId="3C286AEA" w14:textId="062AFDC8" w:rsidR="00B41BB2" w:rsidRPr="009579D7" w:rsidRDefault="00695A0F" w:rsidP="00B41BB2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5 mins</w:t>
            </w:r>
          </w:p>
        </w:tc>
      </w:tr>
      <w:tr w:rsidR="00C7045A" w:rsidRPr="009579D7" w14:paraId="684FE250" w14:textId="77777777" w:rsidTr="000D2236">
        <w:trPr>
          <w:trHeight w:val="814"/>
        </w:trPr>
        <w:tc>
          <w:tcPr>
            <w:tcW w:w="2410" w:type="dxa"/>
            <w:gridSpan w:val="2"/>
          </w:tcPr>
          <w:p w14:paraId="3CED596E" w14:textId="03AA4E41" w:rsidR="00B41BB2" w:rsidRPr="009579D7" w:rsidRDefault="005C625A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Checking for prior </w:t>
            </w:r>
            <w:r w:rsidR="00277916" w:rsidRPr="009579D7">
              <w:rPr>
                <w:rFonts w:ascii="Arial" w:hAnsi="Arial" w:cs="Arial"/>
                <w:bCs/>
                <w:i/>
              </w:rPr>
              <w:t>knowledge</w:t>
            </w:r>
          </w:p>
        </w:tc>
        <w:tc>
          <w:tcPr>
            <w:tcW w:w="4174" w:type="dxa"/>
            <w:gridSpan w:val="2"/>
          </w:tcPr>
          <w:p w14:paraId="4099C992" w14:textId="77777777" w:rsidR="00B41BB2" w:rsidRPr="009579D7" w:rsidRDefault="005C625A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do you think authentic assessment means?</w:t>
            </w:r>
          </w:p>
          <w:p w14:paraId="788CB73C" w14:textId="3788C631" w:rsidR="00277916" w:rsidRPr="009579D7" w:rsidRDefault="00277916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might be the differences between authentic assessment and traditional assessment methodology.</w:t>
            </w:r>
          </w:p>
        </w:tc>
        <w:tc>
          <w:tcPr>
            <w:tcW w:w="4225" w:type="dxa"/>
            <w:gridSpan w:val="2"/>
          </w:tcPr>
          <w:p w14:paraId="495E76AD" w14:textId="65D09BC3" w:rsidR="00B41BB2" w:rsidRPr="009579D7" w:rsidRDefault="005C625A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Think-</w:t>
            </w:r>
            <w:r w:rsidR="0090432D" w:rsidRPr="009579D7">
              <w:rPr>
                <w:rFonts w:ascii="Arial" w:hAnsi="Arial" w:cs="Arial"/>
                <w:bCs/>
              </w:rPr>
              <w:t>pair</w:t>
            </w:r>
            <w:r w:rsidRPr="009579D7">
              <w:rPr>
                <w:rFonts w:ascii="Arial" w:hAnsi="Arial" w:cs="Arial"/>
                <w:bCs/>
              </w:rPr>
              <w:t>-share</w:t>
            </w:r>
          </w:p>
        </w:tc>
        <w:tc>
          <w:tcPr>
            <w:tcW w:w="1570" w:type="dxa"/>
          </w:tcPr>
          <w:p w14:paraId="47FBAAAE" w14:textId="2DE0E3A9" w:rsidR="00B41BB2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4-9</w:t>
            </w:r>
          </w:p>
        </w:tc>
        <w:tc>
          <w:tcPr>
            <w:tcW w:w="1569" w:type="dxa"/>
          </w:tcPr>
          <w:p w14:paraId="1CCFBB44" w14:textId="31C4726B" w:rsidR="00B41BB2" w:rsidRPr="009579D7" w:rsidRDefault="001214C1" w:rsidP="00B41BB2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>10 mins</w:t>
            </w:r>
          </w:p>
        </w:tc>
      </w:tr>
      <w:tr w:rsidR="00C7045A" w:rsidRPr="009579D7" w14:paraId="7A5673DB" w14:textId="77777777" w:rsidTr="000D2236">
        <w:trPr>
          <w:trHeight w:val="814"/>
        </w:trPr>
        <w:tc>
          <w:tcPr>
            <w:tcW w:w="2410" w:type="dxa"/>
            <w:gridSpan w:val="2"/>
          </w:tcPr>
          <w:p w14:paraId="2037F553" w14:textId="72E4904D" w:rsidR="00F354A7" w:rsidRPr="009579D7" w:rsidRDefault="00F354A7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Content delivery - to reinforce definition already discussed </w:t>
            </w:r>
          </w:p>
        </w:tc>
        <w:tc>
          <w:tcPr>
            <w:tcW w:w="4174" w:type="dxa"/>
            <w:gridSpan w:val="2"/>
          </w:tcPr>
          <w:p w14:paraId="1DCB33FE" w14:textId="649306EB" w:rsidR="00F354A7" w:rsidRPr="009579D7" w:rsidRDefault="00F354A7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Definitions of authentic, difference in driving of curriculum and characteristics</w:t>
            </w:r>
          </w:p>
        </w:tc>
        <w:tc>
          <w:tcPr>
            <w:tcW w:w="4225" w:type="dxa"/>
            <w:gridSpan w:val="2"/>
          </w:tcPr>
          <w:p w14:paraId="17964BA7" w14:textId="18CA3B7E" w:rsidR="00F354A7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Q&amp;A as necessary </w:t>
            </w:r>
          </w:p>
        </w:tc>
        <w:tc>
          <w:tcPr>
            <w:tcW w:w="1570" w:type="dxa"/>
          </w:tcPr>
          <w:p w14:paraId="7BE0F7DE" w14:textId="77777777" w:rsidR="00F354A7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</w:tcPr>
          <w:p w14:paraId="0091F451" w14:textId="467D26FE" w:rsidR="00F354A7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15 mins </w:t>
            </w:r>
          </w:p>
        </w:tc>
      </w:tr>
      <w:tr w:rsidR="00C7045A" w:rsidRPr="009579D7" w14:paraId="3479A6F0" w14:textId="77777777" w:rsidTr="000D2236">
        <w:trPr>
          <w:trHeight w:val="814"/>
        </w:trPr>
        <w:tc>
          <w:tcPr>
            <w:tcW w:w="2410" w:type="dxa"/>
            <w:gridSpan w:val="2"/>
          </w:tcPr>
          <w:p w14:paraId="52227C48" w14:textId="0CE4BF6B" w:rsidR="00277916" w:rsidRPr="009579D7" w:rsidRDefault="0070751A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70751A">
              <w:rPr>
                <w:rFonts w:ascii="Arial" w:hAnsi="Arial" w:cs="Arial"/>
                <w:b/>
                <w:bCs/>
                <w:i/>
              </w:rPr>
              <w:t>Poster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 w:rsidR="00277916" w:rsidRPr="009579D7">
              <w:rPr>
                <w:rFonts w:ascii="Arial" w:hAnsi="Arial" w:cs="Arial"/>
                <w:bCs/>
                <w:i/>
              </w:rPr>
              <w:t>Activity around the use of self/peer/group</w:t>
            </w:r>
          </w:p>
          <w:p w14:paraId="5BAA0342" w14:textId="21804D4E" w:rsidR="00B41BB2" w:rsidRPr="009579D7" w:rsidRDefault="00277916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Divide learners into three groups</w:t>
            </w:r>
          </w:p>
        </w:tc>
        <w:tc>
          <w:tcPr>
            <w:tcW w:w="4174" w:type="dxa"/>
            <w:gridSpan w:val="2"/>
          </w:tcPr>
          <w:p w14:paraId="1C52F061" w14:textId="77777777" w:rsidR="00277916" w:rsidRPr="009579D7" w:rsidRDefault="00277916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Allocate self/peer/group to each group and ask </w:t>
            </w:r>
          </w:p>
          <w:p w14:paraId="097A077A" w14:textId="507A6659" w:rsidR="00277916" w:rsidRPr="009579D7" w:rsidRDefault="00277916" w:rsidP="0050120D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do you think it means?</w:t>
            </w:r>
          </w:p>
          <w:p w14:paraId="70B26EFB" w14:textId="393908EB" w:rsidR="00277916" w:rsidRPr="009579D7" w:rsidRDefault="00F84B1B" w:rsidP="0050120D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</w:t>
            </w:r>
            <w:r w:rsidR="00277916" w:rsidRPr="009579D7">
              <w:rPr>
                <w:rFonts w:ascii="Arial" w:hAnsi="Arial" w:cs="Arial"/>
                <w:bCs/>
              </w:rPr>
              <w:t>hy might we use it?</w:t>
            </w:r>
          </w:p>
          <w:p w14:paraId="203C0F95" w14:textId="6B068D49" w:rsidR="00B41BB2" w:rsidRPr="009579D7" w:rsidRDefault="00277916" w:rsidP="0050120D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advantages and/or disadvantages of your assessment type.</w:t>
            </w:r>
          </w:p>
          <w:p w14:paraId="75671E8E" w14:textId="2FF85D57" w:rsidR="00277916" w:rsidRPr="009579D7" w:rsidRDefault="00277916" w:rsidP="0050120D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Where possible include an example of the assessment type. </w:t>
            </w:r>
          </w:p>
          <w:p w14:paraId="1D0AF865" w14:textId="1C685EB9" w:rsidR="00277916" w:rsidRPr="009579D7" w:rsidRDefault="00277916" w:rsidP="0050120D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with larger group in the form of a poster.</w:t>
            </w:r>
          </w:p>
          <w:p w14:paraId="244BDFE8" w14:textId="6917008F" w:rsidR="00277916" w:rsidRPr="009579D7" w:rsidRDefault="00277916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lastRenderedPageBreak/>
              <w:t xml:space="preserve">Any resources can be used but must be referenced. </w:t>
            </w:r>
          </w:p>
        </w:tc>
        <w:tc>
          <w:tcPr>
            <w:tcW w:w="4225" w:type="dxa"/>
            <w:gridSpan w:val="2"/>
          </w:tcPr>
          <w:p w14:paraId="3A2143CC" w14:textId="2F66A742" w:rsidR="0070751A" w:rsidRPr="0070751A" w:rsidRDefault="0070751A" w:rsidP="0070751A">
            <w:p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70751A">
              <w:rPr>
                <w:rFonts w:ascii="Arial" w:hAnsi="Arial" w:cs="Arial"/>
                <w:bCs/>
              </w:rPr>
              <w:lastRenderedPageBreak/>
              <w:t>Design a poster to help explain your topic to your colleagues – using these questions as starters:</w:t>
            </w:r>
          </w:p>
          <w:p w14:paraId="48385CAE" w14:textId="22DAACBB" w:rsidR="0070751A" w:rsidRPr="009579D7" w:rsidRDefault="0070751A" w:rsidP="0050120D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do you think it means?</w:t>
            </w:r>
          </w:p>
          <w:p w14:paraId="35485F6B" w14:textId="77777777" w:rsidR="0070751A" w:rsidRPr="009579D7" w:rsidRDefault="0070751A" w:rsidP="0050120D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Why might we use it?</w:t>
            </w:r>
          </w:p>
          <w:p w14:paraId="34816E67" w14:textId="77777777" w:rsidR="0070751A" w:rsidRPr="009579D7" w:rsidRDefault="0070751A" w:rsidP="0050120D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advantages and/or disadvantages of your assessment type.</w:t>
            </w:r>
          </w:p>
          <w:p w14:paraId="647539C9" w14:textId="77777777" w:rsidR="0070751A" w:rsidRPr="009579D7" w:rsidRDefault="0070751A" w:rsidP="0050120D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Where possible include an example of the assessment type. </w:t>
            </w:r>
          </w:p>
          <w:p w14:paraId="0036C218" w14:textId="77777777" w:rsidR="0070751A" w:rsidRPr="009579D7" w:rsidRDefault="0070751A" w:rsidP="0050120D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with larger group in the form of a poster.</w:t>
            </w:r>
          </w:p>
          <w:p w14:paraId="0DD99476" w14:textId="3D3446CB" w:rsidR="00B41BB2" w:rsidRPr="009579D7" w:rsidRDefault="0070751A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lastRenderedPageBreak/>
              <w:t>Any resources can be used but must be referenced.</w:t>
            </w:r>
          </w:p>
        </w:tc>
        <w:tc>
          <w:tcPr>
            <w:tcW w:w="1570" w:type="dxa"/>
          </w:tcPr>
          <w:p w14:paraId="6F2129C9" w14:textId="481D7194" w:rsidR="00B41BB2" w:rsidRPr="009579D7" w:rsidRDefault="0070751A" w:rsidP="00B41BB2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Facilitator you may wish to add these instructions into a slide</w:t>
            </w:r>
          </w:p>
        </w:tc>
        <w:tc>
          <w:tcPr>
            <w:tcW w:w="1569" w:type="dxa"/>
          </w:tcPr>
          <w:p w14:paraId="664D09B1" w14:textId="3D41AF1B" w:rsidR="00B41BB2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60 mins</w:t>
            </w:r>
          </w:p>
        </w:tc>
      </w:tr>
      <w:tr w:rsidR="00C7045A" w:rsidRPr="009579D7" w14:paraId="6EDA7A94" w14:textId="77777777" w:rsidTr="000D2236">
        <w:trPr>
          <w:trHeight w:val="699"/>
        </w:trPr>
        <w:tc>
          <w:tcPr>
            <w:tcW w:w="10809" w:type="dxa"/>
            <w:gridSpan w:val="6"/>
          </w:tcPr>
          <w:p w14:paraId="66599DE2" w14:textId="5BABED66" w:rsidR="00F354A7" w:rsidRPr="009579D7" w:rsidRDefault="00F354A7" w:rsidP="00637970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 xml:space="preserve">Make links from their posters to use of marking criteria especially when using group assessments AND the importance of the learner having this before the assessment task is undertaken  </w:t>
            </w:r>
          </w:p>
        </w:tc>
        <w:tc>
          <w:tcPr>
            <w:tcW w:w="1570" w:type="dxa"/>
          </w:tcPr>
          <w:p w14:paraId="170AC2AB" w14:textId="77777777" w:rsidR="00F354A7" w:rsidRPr="009579D7" w:rsidRDefault="00F354A7" w:rsidP="00637970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</w:tcPr>
          <w:p w14:paraId="12DACC40" w14:textId="77777777" w:rsidR="00F354A7" w:rsidRPr="009579D7" w:rsidRDefault="00F354A7" w:rsidP="0063797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0D2236" w:rsidRPr="009579D7" w14:paraId="40244C8E" w14:textId="77777777" w:rsidTr="000D2236">
        <w:trPr>
          <w:trHeight w:val="58"/>
        </w:trPr>
        <w:tc>
          <w:tcPr>
            <w:tcW w:w="10809" w:type="dxa"/>
            <w:gridSpan w:val="6"/>
          </w:tcPr>
          <w:p w14:paraId="057C4EAE" w14:textId="4CCA5650" w:rsidR="000D2236" w:rsidRPr="009579D7" w:rsidRDefault="000D2236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 xml:space="preserve">Good link for group assessments : </w:t>
            </w:r>
            <w:hyperlink r:id="rId11" w:history="1">
              <w:r w:rsidRPr="009579D7">
                <w:rPr>
                  <w:rStyle w:val="Hyperlink"/>
                  <w:rFonts w:ascii="Arial" w:hAnsi="Arial" w:cs="Arial"/>
                </w:rPr>
                <w:t>https://uwaterloo.ca/centre-for-teaching-excellence/teaching-resources/teaching-tips/developing-assignments/group-work/methods-assessing-group-work</w:t>
              </w:r>
            </w:hyperlink>
          </w:p>
        </w:tc>
        <w:tc>
          <w:tcPr>
            <w:tcW w:w="1570" w:type="dxa"/>
          </w:tcPr>
          <w:p w14:paraId="0CE32143" w14:textId="77777777" w:rsidR="000D2236" w:rsidRPr="009579D7" w:rsidRDefault="000D2236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</w:tcPr>
          <w:p w14:paraId="007FC139" w14:textId="77777777" w:rsidR="000D2236" w:rsidRPr="009579D7" w:rsidRDefault="000D2236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50120D" w:rsidRPr="009579D7" w14:paraId="11BC9D5E" w14:textId="77777777" w:rsidTr="00D35402">
        <w:trPr>
          <w:trHeight w:val="58"/>
        </w:trPr>
        <w:tc>
          <w:tcPr>
            <w:tcW w:w="13948" w:type="dxa"/>
            <w:gridSpan w:val="8"/>
          </w:tcPr>
          <w:p w14:paraId="1418AD4A" w14:textId="1E724D45" w:rsidR="0050120D" w:rsidRPr="0050120D" w:rsidRDefault="0050120D" w:rsidP="0050120D">
            <w:pPr>
              <w:pStyle w:val="Heading3"/>
              <w:rPr>
                <w:rFonts w:ascii="Arial" w:hAnsi="Arial" w:cs="Arial"/>
                <w:sz w:val="20"/>
              </w:rPr>
            </w:pPr>
            <w:bookmarkStart w:id="1" w:name="_Toc10814365"/>
            <w:r w:rsidRPr="0050120D">
              <w:rPr>
                <w:rFonts w:ascii="Arial" w:hAnsi="Arial" w:cs="Arial"/>
                <w:sz w:val="20"/>
              </w:rPr>
              <w:t>Activity 19: Peer Assessment</w:t>
            </w:r>
            <w:bookmarkEnd w:id="1"/>
            <w:r>
              <w:rPr>
                <w:rFonts w:ascii="Arial" w:hAnsi="Arial" w:cs="Arial"/>
                <w:sz w:val="20"/>
              </w:rPr>
              <w:t xml:space="preserve"> and Template N can be used as recap/extensive of session or as takeaway</w:t>
            </w:r>
          </w:p>
        </w:tc>
      </w:tr>
      <w:tr w:rsidR="00C7045A" w:rsidRPr="009579D7" w14:paraId="278777F9" w14:textId="77777777" w:rsidTr="000D2236">
        <w:trPr>
          <w:trHeight w:val="58"/>
        </w:trPr>
        <w:tc>
          <w:tcPr>
            <w:tcW w:w="2410" w:type="dxa"/>
            <w:gridSpan w:val="2"/>
          </w:tcPr>
          <w:p w14:paraId="3A0624A6" w14:textId="137377E5" w:rsidR="00B41BB2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Return to learning outcomes</w:t>
            </w:r>
          </w:p>
        </w:tc>
        <w:tc>
          <w:tcPr>
            <w:tcW w:w="4174" w:type="dxa"/>
            <w:gridSpan w:val="2"/>
          </w:tcPr>
          <w:p w14:paraId="18B8B785" w14:textId="77777777" w:rsidR="00B41BB2" w:rsidRPr="009579D7" w:rsidRDefault="00B41BB2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</w:p>
        </w:tc>
        <w:tc>
          <w:tcPr>
            <w:tcW w:w="4225" w:type="dxa"/>
            <w:gridSpan w:val="2"/>
          </w:tcPr>
          <w:p w14:paraId="01651A2C" w14:textId="54D7B604" w:rsidR="00F354A7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Use post -it to state one distinction between authentic and traditional </w:t>
            </w:r>
          </w:p>
        </w:tc>
        <w:tc>
          <w:tcPr>
            <w:tcW w:w="1570" w:type="dxa"/>
          </w:tcPr>
          <w:p w14:paraId="1EA9CDF2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</w:tcPr>
          <w:p w14:paraId="734E8D16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7045A" w:rsidRPr="009579D7" w14:paraId="400C933A" w14:textId="77777777" w:rsidTr="000D2236">
        <w:trPr>
          <w:trHeight w:val="450"/>
        </w:trPr>
        <w:tc>
          <w:tcPr>
            <w:tcW w:w="2410" w:type="dxa"/>
            <w:gridSpan w:val="2"/>
            <w:shd w:val="clear" w:color="auto" w:fill="FFFFFF" w:themeFill="background1"/>
          </w:tcPr>
          <w:p w14:paraId="131247C7" w14:textId="6F5AB59F" w:rsidR="00B41BB2" w:rsidRPr="009579D7" w:rsidRDefault="00F354A7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Takeaway activity</w:t>
            </w:r>
          </w:p>
        </w:tc>
        <w:tc>
          <w:tcPr>
            <w:tcW w:w="4174" w:type="dxa"/>
            <w:gridSpan w:val="2"/>
            <w:shd w:val="clear" w:color="auto" w:fill="FFFFFF" w:themeFill="background1"/>
          </w:tcPr>
          <w:p w14:paraId="3F58593C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225" w:type="dxa"/>
            <w:gridSpan w:val="2"/>
            <w:shd w:val="clear" w:color="auto" w:fill="FFFFFF" w:themeFill="background1"/>
          </w:tcPr>
          <w:p w14:paraId="3B6438A0" w14:textId="676A7E59" w:rsidR="00B41BB2" w:rsidRPr="009579D7" w:rsidRDefault="00F354A7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Think about project and decide upon self/peer/group assessment task that might work for you.</w:t>
            </w:r>
          </w:p>
        </w:tc>
        <w:tc>
          <w:tcPr>
            <w:tcW w:w="1570" w:type="dxa"/>
            <w:shd w:val="clear" w:color="auto" w:fill="FFFFFF" w:themeFill="background1"/>
          </w:tcPr>
          <w:p w14:paraId="0EDD2633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14:paraId="550F1E5C" w14:textId="77777777" w:rsidR="00B41BB2" w:rsidRPr="009579D7" w:rsidRDefault="00B41BB2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7045A" w:rsidRPr="009579D7" w14:paraId="4397D7ED" w14:textId="77777777" w:rsidTr="00D35402">
        <w:trPr>
          <w:trHeight w:val="485"/>
        </w:trPr>
        <w:tc>
          <w:tcPr>
            <w:tcW w:w="846" w:type="dxa"/>
            <w:vMerge w:val="restart"/>
            <w:textDirection w:val="btLr"/>
          </w:tcPr>
          <w:p w14:paraId="51E146FC" w14:textId="77777777" w:rsidR="005A274F" w:rsidRPr="0050120D" w:rsidRDefault="005A274F" w:rsidP="0050120D">
            <w:pPr>
              <w:spacing w:before="80"/>
              <w:ind w:left="113" w:right="113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0120D">
              <w:rPr>
                <w:rFonts w:ascii="Arial" w:hAnsi="Arial" w:cs="Arial"/>
                <w:b/>
                <w:bCs/>
              </w:rPr>
              <w:t>Review of session:</w:t>
            </w:r>
          </w:p>
        </w:tc>
        <w:tc>
          <w:tcPr>
            <w:tcW w:w="4394" w:type="dxa"/>
            <w:gridSpan w:val="2"/>
          </w:tcPr>
          <w:p w14:paraId="4A6D1B6C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went well?</w:t>
            </w:r>
          </w:p>
        </w:tc>
        <w:tc>
          <w:tcPr>
            <w:tcW w:w="4253" w:type="dxa"/>
            <w:gridSpan w:val="2"/>
          </w:tcPr>
          <w:p w14:paraId="56C1CAF6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did not work at all?</w:t>
            </w:r>
          </w:p>
        </w:tc>
        <w:tc>
          <w:tcPr>
            <w:tcW w:w="4455" w:type="dxa"/>
            <w:gridSpan w:val="3"/>
          </w:tcPr>
          <w:p w14:paraId="63941934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will I change?</w:t>
            </w:r>
          </w:p>
        </w:tc>
      </w:tr>
      <w:tr w:rsidR="00C7045A" w:rsidRPr="009579D7" w14:paraId="45081703" w14:textId="77777777" w:rsidTr="00D35402">
        <w:trPr>
          <w:trHeight w:val="948"/>
        </w:trPr>
        <w:tc>
          <w:tcPr>
            <w:tcW w:w="846" w:type="dxa"/>
            <w:vMerge/>
          </w:tcPr>
          <w:p w14:paraId="3343787D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gridSpan w:val="2"/>
          </w:tcPr>
          <w:p w14:paraId="3E7221A3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  <w:p w14:paraId="3B8135F8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  <w:p w14:paraId="67003712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  <w:p w14:paraId="0E4D8E6D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  <w:p w14:paraId="505D99C1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  <w:p w14:paraId="31E056C2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gridSpan w:val="2"/>
          </w:tcPr>
          <w:p w14:paraId="066D1B8F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455" w:type="dxa"/>
            <w:gridSpan w:val="3"/>
          </w:tcPr>
          <w:p w14:paraId="22C6F094" w14:textId="77777777" w:rsidR="005A274F" w:rsidRPr="009579D7" w:rsidRDefault="005A274F" w:rsidP="001C74A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185E3221" w14:textId="0AE75005" w:rsidR="00CD2EF9" w:rsidRPr="009579D7" w:rsidRDefault="00CD2EF9">
      <w:pPr>
        <w:spacing w:after="200" w:line="276" w:lineRule="auto"/>
        <w:rPr>
          <w:rFonts w:ascii="Arial" w:hAnsi="Arial" w:cs="Arial"/>
        </w:rPr>
      </w:pPr>
      <w:bookmarkStart w:id="2" w:name="_GoBack"/>
      <w:bookmarkEnd w:id="2"/>
    </w:p>
    <w:sectPr w:rsidR="00CD2EF9" w:rsidRPr="009579D7" w:rsidSect="0097678A"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7678A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centre-for-teaching-excellence/teaching-resources/teaching-tips/developing-assignments/group-work/methods-assessing-group-wor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20c34e5-3de5-4711-b8de-78f3088d3d0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Props1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A5EF8-ADD4-4551-BAF5-D666294679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2019-06-12T03:39:00Z</dcterms:created>
  <dcterms:modified xsi:type="dcterms:W3CDTF">2019-06-12T03:39:00Z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